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0FEA" w14:textId="77777777" w:rsidR="006C41EE" w:rsidRDefault="006C41EE" w:rsidP="006C41EE">
      <w:pPr>
        <w:rPr>
          <w:rFonts w:eastAsia="Dotum" w:cs="Arial"/>
          <w:bCs/>
        </w:rPr>
      </w:pPr>
    </w:p>
    <w:p w14:paraId="595B3D67" w14:textId="50E187DA" w:rsidR="006C41EE" w:rsidRPr="007B3866" w:rsidRDefault="006C41EE" w:rsidP="006C41EE">
      <w:r w:rsidRPr="001558BC">
        <w:rPr>
          <w:rFonts w:eastAsia="Dotum" w:cs="Arial"/>
          <w:bCs/>
        </w:rPr>
        <w:t xml:space="preserve">Številka: </w:t>
      </w:r>
      <w:r w:rsidR="00F7544F" w:rsidRPr="009B3F29">
        <w:t>6033-15/2024/1</w:t>
      </w:r>
      <w:r w:rsidR="00CA3E99">
        <w:t>3</w:t>
      </w:r>
    </w:p>
    <w:p w14:paraId="1C4F7781" w14:textId="47FBFB13" w:rsidR="006C41EE" w:rsidRPr="001558BC" w:rsidRDefault="006C41EE" w:rsidP="006C41EE">
      <w:pPr>
        <w:rPr>
          <w:rFonts w:eastAsia="Dotum" w:cs="Arial"/>
          <w:bCs/>
        </w:rPr>
      </w:pPr>
      <w:r w:rsidRPr="001558BC">
        <w:rPr>
          <w:rFonts w:eastAsia="Dotum" w:cs="Arial"/>
          <w:bCs/>
        </w:rPr>
        <w:t xml:space="preserve">Datum: </w:t>
      </w:r>
      <w:r w:rsidR="00F7544F">
        <w:rPr>
          <w:rFonts w:eastAsia="Dotum" w:cs="Arial"/>
          <w:bCs/>
        </w:rPr>
        <w:t>17</w:t>
      </w:r>
      <w:r>
        <w:rPr>
          <w:rFonts w:eastAsia="Dotum" w:cs="Arial"/>
          <w:bCs/>
        </w:rPr>
        <w:t xml:space="preserve">. </w:t>
      </w:r>
      <w:r w:rsidR="00F7544F">
        <w:rPr>
          <w:rFonts w:eastAsia="Dotum" w:cs="Arial"/>
          <w:bCs/>
        </w:rPr>
        <w:t>4</w:t>
      </w:r>
      <w:r>
        <w:rPr>
          <w:rFonts w:eastAsia="Dotum" w:cs="Arial"/>
          <w:bCs/>
        </w:rPr>
        <w:t xml:space="preserve">. </w:t>
      </w:r>
      <w:r w:rsidR="00F7544F">
        <w:rPr>
          <w:rFonts w:eastAsia="Dotum" w:cs="Arial"/>
          <w:bCs/>
        </w:rPr>
        <w:t>2025</w:t>
      </w:r>
    </w:p>
    <w:p w14:paraId="2FA85699" w14:textId="77777777" w:rsidR="006C41EE" w:rsidRPr="00F23F7B" w:rsidRDefault="006C41EE" w:rsidP="006C41EE">
      <w:pPr>
        <w:rPr>
          <w:rFonts w:eastAsia="Dotum" w:cs="Arial"/>
          <w:bCs/>
        </w:rPr>
      </w:pPr>
    </w:p>
    <w:p w14:paraId="2041F516" w14:textId="77777777" w:rsidR="006C41EE" w:rsidRPr="009B43D7" w:rsidRDefault="006C41EE" w:rsidP="006C41EE">
      <w:pPr>
        <w:rPr>
          <w:rFonts w:eastAsia="Dotum" w:cs="Arial"/>
          <w:bCs/>
        </w:rPr>
      </w:pPr>
    </w:p>
    <w:p w14:paraId="1D64086A" w14:textId="77777777" w:rsidR="006C41EE" w:rsidRPr="009B43D7" w:rsidRDefault="006C41EE" w:rsidP="006C41EE">
      <w:pPr>
        <w:ind w:left="180"/>
        <w:rPr>
          <w:rFonts w:eastAsia="Dotum" w:cs="Arial"/>
          <w:bCs/>
        </w:rPr>
      </w:pPr>
    </w:p>
    <w:p w14:paraId="21A37F8F" w14:textId="367F560C" w:rsidR="006C41EE" w:rsidRPr="00CA3E99" w:rsidRDefault="006C41EE" w:rsidP="006C41EE">
      <w:pPr>
        <w:rPr>
          <w:rFonts w:eastAsia="Arial Unicode MS"/>
        </w:rPr>
      </w:pPr>
      <w:r w:rsidRPr="007B3866">
        <w:rPr>
          <w:rFonts w:eastAsia="Arial Unicode MS"/>
        </w:rPr>
        <w:t>Na podlagi drugega odstavka 223. člena Zakona o splošnem upravnem postopku (</w:t>
      </w:r>
      <w:r>
        <w:rPr>
          <w:rFonts w:eastAsia="Arial Unicode MS"/>
        </w:rPr>
        <w:t>Z</w:t>
      </w:r>
      <w:r w:rsidRPr="00D22111">
        <w:rPr>
          <w:rFonts w:eastAsia="Arial Unicode MS"/>
        </w:rPr>
        <w:t>akon o splošnem upravnem postopku (Uradni list RS, št. </w:t>
      </w:r>
      <w:hyperlink r:id="rId8" w:tgtFrame="_blank" w:tooltip="Zakon o splošnem upravnem postopku (uradno prečiščeno besedilo)" w:history="1">
        <w:r w:rsidRPr="00D22111">
          <w:rPr>
            <w:rFonts w:eastAsia="Arial Unicode MS"/>
          </w:rPr>
          <w:t>24/06</w:t>
        </w:r>
      </w:hyperlink>
      <w:r w:rsidRPr="00D22111">
        <w:rPr>
          <w:rFonts w:eastAsia="Arial Unicode MS"/>
        </w:rPr>
        <w:t> – uradno prečiščeno besedilo, </w:t>
      </w:r>
      <w:hyperlink r:id="rId9" w:tgtFrame="_blank" w:tooltip="Zakon o upravnem sporu" w:history="1">
        <w:r w:rsidRPr="00D22111">
          <w:rPr>
            <w:rFonts w:eastAsia="Arial Unicode MS"/>
          </w:rPr>
          <w:t>105/06</w:t>
        </w:r>
      </w:hyperlink>
      <w:r w:rsidRPr="00D22111">
        <w:rPr>
          <w:rFonts w:eastAsia="Arial Unicode MS"/>
        </w:rPr>
        <w:t> – ZUS-1, </w:t>
      </w:r>
      <w:hyperlink r:id="rId10" w:tgtFrame="_blank" w:tooltip="Zakon o spremembah in dopolnitvah Zakona o splošnem upravnem postopku" w:history="1">
        <w:r w:rsidRPr="00D22111">
          <w:rPr>
            <w:rFonts w:eastAsia="Arial Unicode MS"/>
          </w:rPr>
          <w:t>126/07</w:t>
        </w:r>
      </w:hyperlink>
      <w:r w:rsidRPr="00D22111">
        <w:rPr>
          <w:rFonts w:eastAsia="Arial Unicode MS"/>
        </w:rPr>
        <w:t>, </w:t>
      </w:r>
      <w:hyperlink r:id="rId11" w:tgtFrame="_blank" w:tooltip="Zakon o spremembi in dopolnitvah Zakona o splošnem upravnem postopku" w:history="1">
        <w:r w:rsidRPr="00D22111">
          <w:rPr>
            <w:rFonts w:eastAsia="Arial Unicode MS"/>
          </w:rPr>
          <w:t>65/08</w:t>
        </w:r>
      </w:hyperlink>
      <w:r w:rsidRPr="00D22111">
        <w:rPr>
          <w:rFonts w:eastAsia="Arial Unicode MS"/>
        </w:rPr>
        <w:t>, </w:t>
      </w:r>
      <w:hyperlink r:id="rId12" w:tgtFrame="_blank" w:tooltip="Zakon o spremembah in dopolnitvah Zakona o splošnem upravnem postopku" w:history="1">
        <w:r w:rsidRPr="00D22111">
          <w:rPr>
            <w:rFonts w:eastAsia="Arial Unicode MS"/>
          </w:rPr>
          <w:t>8/10</w:t>
        </w:r>
      </w:hyperlink>
      <w:r w:rsidRPr="00D22111">
        <w:rPr>
          <w:rFonts w:eastAsia="Arial Unicode MS"/>
        </w:rPr>
        <w:t> in </w:t>
      </w:r>
      <w:hyperlink r:id="rId13" w:tgtFrame="_blank" w:tooltip="Zakon o spremembah in dopolnitvi Zakona o splošnem upravnem postopku" w:history="1">
        <w:r w:rsidRPr="00D22111">
          <w:rPr>
            <w:rFonts w:eastAsia="Arial Unicode MS"/>
          </w:rPr>
          <w:t>82/13</w:t>
        </w:r>
      </w:hyperlink>
      <w:r>
        <w:rPr>
          <w:rFonts w:eastAsia="Arial Unicode MS"/>
        </w:rPr>
        <w:t xml:space="preserve">, </w:t>
      </w:r>
      <w:hyperlink r:id="rId14" w:tgtFrame="_blank" w:tooltip="Zakon o interventnih ukrepih za omilitev posledic drugega vala epidemije COVID-19 (ZIUOPDVE)" w:history="1">
        <w:r w:rsidRPr="00CA3E99">
          <w:t>175/20</w:t>
        </w:r>
      </w:hyperlink>
      <w:r w:rsidRPr="007C3CC7">
        <w:rPr>
          <w:rFonts w:eastAsia="Arial Unicode MS"/>
        </w:rPr>
        <w:t> – ZIUOPDVE in </w:t>
      </w:r>
      <w:hyperlink r:id="rId15" w:tgtFrame="_blank" w:tooltip="Zakon o debirokratizaciji (ZDeb)" w:history="1">
        <w:r w:rsidRPr="00CA3E99">
          <w:t>3/22</w:t>
        </w:r>
      </w:hyperlink>
      <w:r w:rsidRPr="007C3CC7">
        <w:rPr>
          <w:rFonts w:eastAsia="Arial Unicode MS"/>
        </w:rPr>
        <w:t xml:space="preserve"> – </w:t>
      </w:r>
      <w:proofErr w:type="spellStart"/>
      <w:r w:rsidRPr="007C3CC7">
        <w:rPr>
          <w:rFonts w:eastAsia="Arial Unicode MS"/>
        </w:rPr>
        <w:t>Zdeb</w:t>
      </w:r>
      <w:proofErr w:type="spellEnd"/>
      <w:r>
        <w:rPr>
          <w:rFonts w:eastAsia="Arial Unicode MS"/>
        </w:rPr>
        <w:t xml:space="preserve">,  </w:t>
      </w:r>
      <w:r w:rsidRPr="00281A4F">
        <w:rPr>
          <w:rFonts w:eastAsia="Arial Unicode MS"/>
        </w:rPr>
        <w:t xml:space="preserve">v nadaljnjem besedilu: ZUP) zaradi poprave pisne pomote v </w:t>
      </w:r>
      <w:r>
        <w:rPr>
          <w:rFonts w:eastAsia="Arial Unicode MS"/>
        </w:rPr>
        <w:t>odločbi št.</w:t>
      </w:r>
      <w:r w:rsidR="00CA3E99">
        <w:rPr>
          <w:rFonts w:eastAsia="Arial Unicode MS"/>
        </w:rPr>
        <w:t xml:space="preserve"> </w:t>
      </w:r>
      <w:r w:rsidR="00F7544F" w:rsidRPr="00CA3E99">
        <w:rPr>
          <w:rFonts w:eastAsia="Arial Unicode MS"/>
        </w:rPr>
        <w:t>6033-15/2024/11</w:t>
      </w:r>
      <w:r w:rsidRPr="00CA3E99">
        <w:rPr>
          <w:rFonts w:eastAsia="Arial Unicode MS"/>
        </w:rPr>
        <w:t>, i</w:t>
      </w:r>
      <w:r w:rsidRPr="00281A4F">
        <w:rPr>
          <w:rFonts w:eastAsia="Arial Unicode MS"/>
        </w:rPr>
        <w:t xml:space="preserve">zdaja svet Nacionalne agencije Republike Slovenije za kakovost v visokem šolstvu </w:t>
      </w:r>
      <w:r w:rsidR="00D272C0">
        <w:rPr>
          <w:rFonts w:eastAsia="Arial Unicode MS"/>
        </w:rPr>
        <w:t xml:space="preserve">na 211. seji, 17. 4. 2025, </w:t>
      </w:r>
      <w:r w:rsidRPr="00281A4F">
        <w:rPr>
          <w:rFonts w:eastAsia="Arial Unicode MS"/>
        </w:rPr>
        <w:t xml:space="preserve">naslednji </w:t>
      </w:r>
    </w:p>
    <w:p w14:paraId="18615B81" w14:textId="77777777" w:rsidR="006C41EE" w:rsidRPr="00281A4F" w:rsidRDefault="006C41EE" w:rsidP="006C41EE">
      <w:pPr>
        <w:rPr>
          <w:i/>
        </w:rPr>
      </w:pPr>
    </w:p>
    <w:p w14:paraId="6A00336F" w14:textId="77777777" w:rsidR="006C41EE" w:rsidRPr="00281A4F" w:rsidRDefault="006C41EE" w:rsidP="006C41EE">
      <w:pPr>
        <w:rPr>
          <w:rFonts w:eastAsia="Arial Unicode MS"/>
          <w:b/>
        </w:rPr>
      </w:pPr>
    </w:p>
    <w:p w14:paraId="24C225C8" w14:textId="77777777" w:rsidR="006C41EE" w:rsidRPr="00281A4F" w:rsidRDefault="006C41EE" w:rsidP="006C41EE">
      <w:pPr>
        <w:rPr>
          <w:rFonts w:eastAsia="Arial Unicode MS"/>
          <w:b/>
        </w:rPr>
      </w:pPr>
    </w:p>
    <w:p w14:paraId="4730382E" w14:textId="77777777" w:rsidR="006C41EE" w:rsidRPr="00281A4F" w:rsidRDefault="006C41EE" w:rsidP="006C41EE">
      <w:pPr>
        <w:jc w:val="center"/>
        <w:rPr>
          <w:rFonts w:eastAsia="Arial Unicode MS"/>
          <w:b/>
        </w:rPr>
      </w:pPr>
      <w:r w:rsidRPr="00281A4F">
        <w:rPr>
          <w:rFonts w:eastAsia="Arial Unicode MS"/>
          <w:b/>
        </w:rPr>
        <w:t>SKLEP</w:t>
      </w:r>
    </w:p>
    <w:p w14:paraId="1FE82457" w14:textId="77777777" w:rsidR="006C41EE" w:rsidRPr="00281A4F" w:rsidRDefault="006C41EE" w:rsidP="006C41EE">
      <w:pPr>
        <w:rPr>
          <w:rFonts w:eastAsia="Arial Unicode MS"/>
          <w:b/>
        </w:rPr>
      </w:pPr>
    </w:p>
    <w:p w14:paraId="27C6D91A" w14:textId="77777777" w:rsidR="006C41EE" w:rsidRPr="00281A4F" w:rsidRDefault="006C41EE" w:rsidP="006C41EE">
      <w:pPr>
        <w:rPr>
          <w:rFonts w:eastAsia="Arial Unicode MS"/>
          <w:b/>
        </w:rPr>
      </w:pPr>
    </w:p>
    <w:p w14:paraId="12837677" w14:textId="4ADA3D38" w:rsidR="006C41EE" w:rsidRPr="007B0F0C" w:rsidRDefault="006C41EE" w:rsidP="006C41EE">
      <w:pPr>
        <w:jc w:val="center"/>
        <w:rPr>
          <w:rFonts w:eastAsia="Arial Unicode MS"/>
          <w:b/>
          <w:i/>
        </w:rPr>
      </w:pPr>
      <w:r w:rsidRPr="00281A4F">
        <w:rPr>
          <w:rFonts w:eastAsia="Arial Unicode MS"/>
          <w:b/>
          <w:i/>
        </w:rPr>
        <w:t xml:space="preserve">o popravku </w:t>
      </w:r>
      <w:r w:rsidRPr="00506915">
        <w:rPr>
          <w:rFonts w:eastAsia="Arial Unicode MS"/>
          <w:b/>
          <w:i/>
        </w:rPr>
        <w:t>odločb</w:t>
      </w:r>
      <w:r>
        <w:rPr>
          <w:rFonts w:eastAsia="Arial Unicode MS"/>
          <w:b/>
          <w:i/>
        </w:rPr>
        <w:t>e</w:t>
      </w:r>
      <w:r w:rsidRPr="00506915">
        <w:rPr>
          <w:rFonts w:eastAsia="Arial Unicode MS"/>
          <w:b/>
          <w:i/>
        </w:rPr>
        <w:t xml:space="preserve"> št. </w:t>
      </w:r>
      <w:r w:rsidR="00F7544F" w:rsidRPr="007B0F0C">
        <w:rPr>
          <w:rFonts w:eastAsia="Arial Unicode MS"/>
          <w:b/>
          <w:i/>
        </w:rPr>
        <w:t>6033-15/2024/11</w:t>
      </w:r>
    </w:p>
    <w:p w14:paraId="586479A9" w14:textId="77777777" w:rsidR="006C41EE" w:rsidRPr="00281A4F" w:rsidRDefault="006C41EE" w:rsidP="006C41EE">
      <w:pPr>
        <w:rPr>
          <w:b/>
          <w:i/>
        </w:rPr>
      </w:pPr>
    </w:p>
    <w:p w14:paraId="219C3EB5" w14:textId="77777777" w:rsidR="006C41EE" w:rsidRPr="00281A4F" w:rsidRDefault="006C41EE" w:rsidP="006C41EE">
      <w:pPr>
        <w:rPr>
          <w:b/>
          <w:i/>
        </w:rPr>
      </w:pPr>
    </w:p>
    <w:p w14:paraId="021E7854" w14:textId="77777777" w:rsidR="006C41EE" w:rsidRPr="00281A4F" w:rsidRDefault="006C41EE" w:rsidP="006C41EE">
      <w:pPr>
        <w:rPr>
          <w:i/>
          <w:iCs/>
        </w:rPr>
      </w:pPr>
    </w:p>
    <w:p w14:paraId="56D05741" w14:textId="23768DC6" w:rsidR="00F7544F" w:rsidRPr="00D557E5" w:rsidRDefault="006C41EE" w:rsidP="00E754C3">
      <w:pPr>
        <w:pStyle w:val="Telobesedila2"/>
        <w:numPr>
          <w:ilvl w:val="0"/>
          <w:numId w:val="2"/>
        </w:numPr>
        <w:rPr>
          <w:rFonts w:ascii="Verdana" w:hAnsi="Verdana"/>
          <w:iCs/>
          <w:sz w:val="20"/>
          <w:lang w:val="sl-SI"/>
        </w:rPr>
      </w:pPr>
      <w:r w:rsidRPr="00D557E5">
        <w:rPr>
          <w:rFonts w:ascii="Verdana" w:hAnsi="Verdana"/>
          <w:sz w:val="20"/>
          <w:lang w:val="sl-SI"/>
        </w:rPr>
        <w:t xml:space="preserve">V odločbi št. </w:t>
      </w:r>
      <w:r w:rsidR="00F7544F" w:rsidRPr="00D557E5">
        <w:rPr>
          <w:rFonts w:ascii="Verdana" w:hAnsi="Verdana"/>
          <w:sz w:val="20"/>
        </w:rPr>
        <w:t>6033-15/2024/11</w:t>
      </w:r>
      <w:r w:rsidRPr="00D557E5">
        <w:rPr>
          <w:rFonts w:ascii="Verdana" w:hAnsi="Verdana"/>
          <w:sz w:val="20"/>
          <w:lang w:val="sl-SI"/>
        </w:rPr>
        <w:t xml:space="preserve">, ki </w:t>
      </w:r>
      <w:r w:rsidR="003D1C5E" w:rsidRPr="00D557E5">
        <w:rPr>
          <w:rFonts w:ascii="Verdana" w:hAnsi="Verdana"/>
          <w:sz w:val="20"/>
          <w:lang w:val="sl-SI"/>
        </w:rPr>
        <w:t>jo</w:t>
      </w:r>
      <w:r w:rsidRPr="00D557E5">
        <w:rPr>
          <w:rFonts w:ascii="Verdana" w:hAnsi="Verdana"/>
          <w:sz w:val="20"/>
          <w:lang w:val="sl-SI"/>
        </w:rPr>
        <w:t xml:space="preserve"> je svet agencije sprejel na svoji </w:t>
      </w:r>
      <w:r w:rsidR="00F7544F" w:rsidRPr="00D557E5">
        <w:rPr>
          <w:rFonts w:ascii="Verdana" w:hAnsi="Verdana"/>
          <w:sz w:val="20"/>
          <w:lang w:val="sl-SI"/>
        </w:rPr>
        <w:t>210</w:t>
      </w:r>
      <w:r w:rsidRPr="00D557E5">
        <w:rPr>
          <w:rFonts w:ascii="Verdana" w:hAnsi="Verdana"/>
          <w:sz w:val="20"/>
          <w:lang w:val="sl-SI"/>
        </w:rPr>
        <w:t>. seji,</w:t>
      </w:r>
      <w:r w:rsidR="00F7544F" w:rsidRPr="00D557E5">
        <w:rPr>
          <w:rFonts w:ascii="Verdana" w:hAnsi="Verdana"/>
          <w:sz w:val="20"/>
          <w:lang w:val="sl-SI"/>
        </w:rPr>
        <w:t xml:space="preserve"> 2</w:t>
      </w:r>
      <w:r w:rsidR="00CA3E99" w:rsidRPr="00D557E5">
        <w:rPr>
          <w:rFonts w:ascii="Verdana" w:hAnsi="Verdana"/>
          <w:sz w:val="20"/>
          <w:lang w:val="sl-SI"/>
        </w:rPr>
        <w:t>0. 3. 2025</w:t>
      </w:r>
      <w:r w:rsidR="00D943D7">
        <w:rPr>
          <w:rFonts w:ascii="Verdana" w:hAnsi="Verdana"/>
          <w:sz w:val="20"/>
          <w:lang w:val="sl-SI"/>
        </w:rPr>
        <w:t>,</w:t>
      </w:r>
      <w:r w:rsidRPr="00D557E5">
        <w:rPr>
          <w:rFonts w:ascii="Verdana" w:hAnsi="Verdana"/>
          <w:sz w:val="20"/>
          <w:lang w:val="sl-SI"/>
        </w:rPr>
        <w:t xml:space="preserve"> se v prvem odstavku izreka odločbe </w:t>
      </w:r>
      <w:r w:rsidR="00F7544F" w:rsidRPr="00D557E5">
        <w:rPr>
          <w:rFonts w:ascii="Verdana" w:hAnsi="Verdana"/>
          <w:sz w:val="20"/>
        </w:rPr>
        <w:t xml:space="preserve">naredi popravek na način, da se </w:t>
      </w:r>
      <w:r w:rsidR="00D557E5" w:rsidRPr="00D557E5">
        <w:rPr>
          <w:rFonts w:ascii="Verdana" w:hAnsi="Verdana"/>
          <w:sz w:val="20"/>
        </w:rPr>
        <w:t xml:space="preserve">za </w:t>
      </w:r>
      <w:r w:rsidR="00B73ADC">
        <w:rPr>
          <w:rFonts w:ascii="Verdana" w:hAnsi="Verdana"/>
          <w:sz w:val="20"/>
        </w:rPr>
        <w:t>besedo</w:t>
      </w:r>
      <w:r w:rsidR="00D557E5" w:rsidRPr="00D557E5">
        <w:rPr>
          <w:rFonts w:ascii="Verdana" w:hAnsi="Verdana"/>
          <w:sz w:val="20"/>
        </w:rPr>
        <w:t xml:space="preserve"> </w:t>
      </w:r>
      <w:r w:rsidR="00E754C3">
        <w:rPr>
          <w:rFonts w:ascii="Verdana" w:hAnsi="Verdana"/>
          <w:sz w:val="20"/>
        </w:rPr>
        <w:t>»</w:t>
      </w:r>
      <w:r w:rsidR="00D557E5" w:rsidRPr="00D557E5">
        <w:rPr>
          <w:rFonts w:ascii="Verdana" w:hAnsi="Verdana"/>
          <w:sz w:val="20"/>
        </w:rPr>
        <w:t>podeli</w:t>
      </w:r>
      <w:r w:rsidR="00E754C3">
        <w:rPr>
          <w:rFonts w:ascii="Verdana" w:hAnsi="Verdana"/>
          <w:sz w:val="20"/>
        </w:rPr>
        <w:t>«</w:t>
      </w:r>
      <w:r w:rsidR="00D557E5" w:rsidRPr="00D557E5">
        <w:rPr>
          <w:rFonts w:ascii="Verdana" w:hAnsi="Verdana"/>
          <w:sz w:val="20"/>
        </w:rPr>
        <w:t xml:space="preserve"> doda </w:t>
      </w:r>
      <w:r w:rsidR="00B73ADC">
        <w:rPr>
          <w:rFonts w:ascii="Verdana" w:hAnsi="Verdana"/>
          <w:sz w:val="20"/>
        </w:rPr>
        <w:t>beseda</w:t>
      </w:r>
      <w:r w:rsidR="00F7544F" w:rsidRPr="00D557E5">
        <w:rPr>
          <w:rFonts w:ascii="Verdana" w:hAnsi="Verdana"/>
          <w:sz w:val="20"/>
        </w:rPr>
        <w:t xml:space="preserve"> </w:t>
      </w:r>
      <w:r w:rsidR="00E754C3">
        <w:rPr>
          <w:rFonts w:ascii="Verdana" w:hAnsi="Verdana"/>
          <w:sz w:val="20"/>
        </w:rPr>
        <w:t>»</w:t>
      </w:r>
      <w:r w:rsidR="00F7544F" w:rsidRPr="00D557E5">
        <w:rPr>
          <w:rFonts w:ascii="Verdana" w:hAnsi="Verdana"/>
          <w:b/>
          <w:bCs/>
          <w:iCs/>
          <w:sz w:val="20"/>
        </w:rPr>
        <w:t>akreditacijo</w:t>
      </w:r>
      <w:r w:rsidR="00E754C3">
        <w:rPr>
          <w:rFonts w:ascii="Verdana" w:hAnsi="Verdana"/>
          <w:b/>
          <w:bCs/>
          <w:iCs/>
          <w:sz w:val="20"/>
        </w:rPr>
        <w:t>«</w:t>
      </w:r>
      <w:r w:rsidR="00F7544F" w:rsidRPr="00D557E5">
        <w:rPr>
          <w:rFonts w:ascii="Verdana" w:hAnsi="Verdana"/>
          <w:sz w:val="20"/>
        </w:rPr>
        <w:t xml:space="preserve">, </w:t>
      </w:r>
      <w:r w:rsidR="00D557E5" w:rsidRPr="00D557E5">
        <w:rPr>
          <w:rFonts w:ascii="Verdana" w:hAnsi="Verdana"/>
          <w:sz w:val="20"/>
        </w:rPr>
        <w:t xml:space="preserve">tako da se po novem glasi </w:t>
      </w:r>
      <w:r w:rsidR="00D943D7">
        <w:rPr>
          <w:rFonts w:ascii="Verdana" w:hAnsi="Verdana"/>
          <w:sz w:val="20"/>
        </w:rPr>
        <w:t>»</w:t>
      </w:r>
      <w:r w:rsidR="00D557E5" w:rsidRPr="00D557E5">
        <w:rPr>
          <w:rFonts w:ascii="Verdana" w:hAnsi="Verdana"/>
          <w:sz w:val="20"/>
        </w:rPr>
        <w:t>podeli akreditacijo</w:t>
      </w:r>
      <w:r w:rsidR="00D943D7">
        <w:rPr>
          <w:rFonts w:ascii="Verdana" w:hAnsi="Verdana"/>
          <w:sz w:val="20"/>
        </w:rPr>
        <w:t>«</w:t>
      </w:r>
      <w:r w:rsidR="00D557E5" w:rsidRPr="00D557E5">
        <w:rPr>
          <w:rFonts w:ascii="Verdana" w:hAnsi="Verdana"/>
          <w:sz w:val="20"/>
        </w:rPr>
        <w:t xml:space="preserve">. </w:t>
      </w:r>
    </w:p>
    <w:p w14:paraId="39EE36E3" w14:textId="4FEAF63F" w:rsidR="00F7544F" w:rsidRPr="00F7544F" w:rsidRDefault="00D557E5" w:rsidP="00F7544F">
      <w:pPr>
        <w:pStyle w:val="Telobesedila2"/>
        <w:numPr>
          <w:ilvl w:val="0"/>
          <w:numId w:val="2"/>
        </w:numPr>
        <w:rPr>
          <w:rFonts w:ascii="Verdana" w:hAnsi="Verdana"/>
          <w:iCs/>
          <w:sz w:val="20"/>
          <w:lang w:val="sl-SI"/>
        </w:rPr>
      </w:pPr>
      <w:r>
        <w:rPr>
          <w:rFonts w:ascii="Verdana" w:hAnsi="Verdana"/>
          <w:sz w:val="20"/>
        </w:rPr>
        <w:t>V</w:t>
      </w:r>
      <w:r w:rsidR="00F7544F" w:rsidRPr="00F7544F">
        <w:rPr>
          <w:rFonts w:ascii="Verdana" w:hAnsi="Verdana"/>
          <w:sz w:val="20"/>
        </w:rPr>
        <w:t xml:space="preserve"> isti odločbi </w:t>
      </w:r>
      <w:r>
        <w:rPr>
          <w:rFonts w:ascii="Verdana" w:hAnsi="Verdana"/>
          <w:sz w:val="20"/>
        </w:rPr>
        <w:t xml:space="preserve">se </w:t>
      </w:r>
      <w:r w:rsidR="00F7544F" w:rsidRPr="00F7544F">
        <w:rPr>
          <w:rFonts w:ascii="Verdana" w:hAnsi="Verdana"/>
          <w:sz w:val="20"/>
        </w:rPr>
        <w:t xml:space="preserve">v uvodnem delu </w:t>
      </w:r>
      <w:r>
        <w:rPr>
          <w:rFonts w:ascii="Verdana" w:hAnsi="Verdana"/>
          <w:sz w:val="20"/>
        </w:rPr>
        <w:t>odločbe pred ime in priimek rektorja Gregor Majdič doda njegov znanstveni in habilitacijski naziv</w:t>
      </w:r>
      <w:r w:rsidR="00F7544F" w:rsidRPr="00F7544F">
        <w:rPr>
          <w:rFonts w:ascii="Verdana" w:hAnsi="Verdana"/>
          <w:sz w:val="20"/>
        </w:rPr>
        <w:t xml:space="preserve"> </w:t>
      </w:r>
      <w:r w:rsidR="00F7544F" w:rsidRPr="00F7544F">
        <w:rPr>
          <w:rFonts w:ascii="Verdana" w:hAnsi="Verdana"/>
          <w:b/>
          <w:bCs/>
          <w:iCs/>
          <w:sz w:val="20"/>
        </w:rPr>
        <w:t>prof. dr.</w:t>
      </w:r>
      <w:r>
        <w:rPr>
          <w:rFonts w:ascii="Verdana" w:hAnsi="Verdana"/>
          <w:sz w:val="20"/>
        </w:rPr>
        <w:t xml:space="preserve">, tako da se po novem glasi </w:t>
      </w:r>
      <w:r w:rsidR="00E754C3">
        <w:rPr>
          <w:rFonts w:ascii="Verdana" w:hAnsi="Verdana"/>
          <w:sz w:val="20"/>
        </w:rPr>
        <w:t>»</w:t>
      </w:r>
      <w:r>
        <w:rPr>
          <w:rFonts w:ascii="Verdana" w:hAnsi="Verdana"/>
          <w:sz w:val="20"/>
        </w:rPr>
        <w:t xml:space="preserve">prof. dr. </w:t>
      </w:r>
      <w:r w:rsidR="00F7544F" w:rsidRPr="00F7544F">
        <w:rPr>
          <w:rFonts w:ascii="Verdana" w:hAnsi="Verdana"/>
          <w:sz w:val="20"/>
        </w:rPr>
        <w:t>Gregor Majdič</w:t>
      </w:r>
      <w:r w:rsidR="00CA3E99">
        <w:rPr>
          <w:rFonts w:ascii="Verdana" w:hAnsi="Verdana"/>
          <w:sz w:val="20"/>
        </w:rPr>
        <w:t>.</w:t>
      </w:r>
      <w:r w:rsidR="00E754C3">
        <w:rPr>
          <w:rFonts w:ascii="Verdana" w:hAnsi="Verdana"/>
          <w:sz w:val="20"/>
        </w:rPr>
        <w:t>«</w:t>
      </w:r>
    </w:p>
    <w:p w14:paraId="65B3D3D3" w14:textId="77777777" w:rsidR="006C41EE" w:rsidRPr="00F7544F" w:rsidRDefault="006C41EE" w:rsidP="00D65F0B">
      <w:pPr>
        <w:pStyle w:val="Telobesedila2"/>
        <w:ind w:left="720"/>
        <w:rPr>
          <w:rFonts w:ascii="Verdana" w:hAnsi="Verdana"/>
          <w:sz w:val="20"/>
          <w:lang w:val="sl-SI"/>
        </w:rPr>
      </w:pPr>
    </w:p>
    <w:p w14:paraId="3ED22CE7" w14:textId="77777777" w:rsidR="006C41EE" w:rsidRPr="00281A4F" w:rsidRDefault="006C41EE" w:rsidP="006C41EE">
      <w:pPr>
        <w:rPr>
          <w:iCs/>
        </w:rPr>
      </w:pPr>
      <w:r w:rsidRPr="00870829">
        <w:rPr>
          <w:i/>
          <w:iCs/>
        </w:rPr>
        <w:t xml:space="preserve">     </w:t>
      </w:r>
      <w:r w:rsidRPr="00870829">
        <w:t xml:space="preserve">2. </w:t>
      </w:r>
      <w:r w:rsidRPr="00870829">
        <w:rPr>
          <w:i/>
          <w:iCs/>
        </w:rPr>
        <w:t>Stroški v tem postopku niso nastali.</w:t>
      </w:r>
    </w:p>
    <w:p w14:paraId="20117F4C" w14:textId="77777777" w:rsidR="006C41EE" w:rsidRDefault="006C41EE" w:rsidP="006C41EE">
      <w:pPr>
        <w:jc w:val="center"/>
        <w:rPr>
          <w:b/>
          <w:iCs/>
        </w:rPr>
      </w:pPr>
    </w:p>
    <w:p w14:paraId="5A4D573B" w14:textId="77777777" w:rsidR="006C41EE" w:rsidRPr="00281A4F" w:rsidRDefault="006C41EE" w:rsidP="006C41EE">
      <w:pPr>
        <w:jc w:val="center"/>
        <w:rPr>
          <w:b/>
          <w:iCs/>
        </w:rPr>
      </w:pPr>
      <w:r w:rsidRPr="00281A4F">
        <w:rPr>
          <w:b/>
          <w:iCs/>
        </w:rPr>
        <w:t>OBRAZLOŽITEV:</w:t>
      </w:r>
    </w:p>
    <w:p w14:paraId="64185D5B" w14:textId="77777777" w:rsidR="006C41EE" w:rsidRPr="00281A4F" w:rsidRDefault="006C41EE" w:rsidP="006C41EE">
      <w:pPr>
        <w:rPr>
          <w:b/>
          <w:iCs/>
        </w:rPr>
      </w:pPr>
    </w:p>
    <w:p w14:paraId="15C24D9E" w14:textId="77777777" w:rsidR="006C41EE" w:rsidRPr="00281A4F" w:rsidRDefault="006C41EE" w:rsidP="006C41EE"/>
    <w:p w14:paraId="5A286CE8" w14:textId="23E41FAA" w:rsidR="006C41EE" w:rsidRDefault="006C41EE" w:rsidP="006C41EE">
      <w:pPr>
        <w:spacing w:after="200"/>
      </w:pPr>
      <w:r w:rsidRPr="00781FDD">
        <w:t xml:space="preserve">Svet Nacionalne agencije Republike Slovenije za kakovost v visokem šolstvu (v nadaljevanju. </w:t>
      </w:r>
      <w:proofErr w:type="spellStart"/>
      <w:r w:rsidRPr="00781FDD">
        <w:t>Nakvis</w:t>
      </w:r>
      <w:proofErr w:type="spellEnd"/>
      <w:r w:rsidRPr="00781FDD">
        <w:t xml:space="preserve">) je na </w:t>
      </w:r>
      <w:r w:rsidR="00F7544F" w:rsidRPr="00781FDD">
        <w:t>2</w:t>
      </w:r>
      <w:r w:rsidR="00F7544F">
        <w:t>1</w:t>
      </w:r>
      <w:r w:rsidR="00CA3E99">
        <w:t>0</w:t>
      </w:r>
      <w:r w:rsidRPr="00781FDD">
        <w:t>. seji</w:t>
      </w:r>
      <w:r w:rsidR="00F7544F">
        <w:t>, 20. 3. 2025,</w:t>
      </w:r>
      <w:r w:rsidRPr="00781FDD">
        <w:t xml:space="preserve"> z</w:t>
      </w:r>
      <w:r w:rsidR="00F7544F">
        <w:t xml:space="preserve"> odločbo </w:t>
      </w:r>
      <w:r w:rsidR="00F7544F" w:rsidRPr="009B3F29">
        <w:t>6033-15/2024/11</w:t>
      </w:r>
      <w:r w:rsidR="00F7544F">
        <w:t xml:space="preserve"> podelil akreditacijo </w:t>
      </w:r>
      <w:r w:rsidR="00F7544F" w:rsidRPr="009B3F29">
        <w:t>interdisciplinarn</w:t>
      </w:r>
      <w:r w:rsidR="007B0F0C">
        <w:t>emu</w:t>
      </w:r>
      <w:r w:rsidR="00F7544F" w:rsidRPr="009B3F29">
        <w:t xml:space="preserve"> magistrsk</w:t>
      </w:r>
      <w:r w:rsidR="007B0F0C">
        <w:t>emu</w:t>
      </w:r>
      <w:r w:rsidR="00F7544F" w:rsidRPr="009B3F29">
        <w:t xml:space="preserve"> študijske</w:t>
      </w:r>
      <w:r w:rsidR="007B0F0C">
        <w:t>mu</w:t>
      </w:r>
      <w:r w:rsidR="00F7544F" w:rsidRPr="009B3F29">
        <w:t xml:space="preserve"> program</w:t>
      </w:r>
      <w:r w:rsidR="007B0F0C">
        <w:t>u</w:t>
      </w:r>
      <w:r w:rsidR="00F7544F" w:rsidRPr="009B3F29">
        <w:t xml:space="preserve"> </w:t>
      </w:r>
      <w:proofErr w:type="spellStart"/>
      <w:r w:rsidR="00F7544F" w:rsidRPr="009B3F29">
        <w:t>Bioekonomika</w:t>
      </w:r>
      <w:proofErr w:type="spellEnd"/>
      <w:r w:rsidR="00F7544F" w:rsidRPr="009B3F29">
        <w:t xml:space="preserve"> Biotehniške fakultete in Ekonomske fakultete Univerze v Ljubljani</w:t>
      </w:r>
      <w:r w:rsidR="00F7544F">
        <w:t>.</w:t>
      </w:r>
      <w:r w:rsidRPr="00781FDD">
        <w:t xml:space="preserve"> </w:t>
      </w:r>
    </w:p>
    <w:p w14:paraId="4CD3155C" w14:textId="028A7784" w:rsidR="006C1A1B" w:rsidRDefault="006C1A1B" w:rsidP="006C41EE">
      <w:pPr>
        <w:spacing w:after="200"/>
      </w:pPr>
      <w:r>
        <w:t xml:space="preserve">Dne </w:t>
      </w:r>
      <w:r w:rsidR="00F7544F">
        <w:t>3</w:t>
      </w:r>
      <w:r>
        <w:t>.</w:t>
      </w:r>
      <w:r w:rsidR="00F7544F">
        <w:t xml:space="preserve"> 4 </w:t>
      </w:r>
      <w:r>
        <w:t>.</w:t>
      </w:r>
      <w:r w:rsidR="00F7544F">
        <w:t xml:space="preserve">2025 </w:t>
      </w:r>
      <w:r>
        <w:t>je agencija s strani Univerze v Ljubljani</w:t>
      </w:r>
      <w:r w:rsidR="003D1C5E">
        <w:t xml:space="preserve">, Kongresni trg 12, 1000 </w:t>
      </w:r>
      <w:r w:rsidR="00F7544F">
        <w:t>Ljubljana</w:t>
      </w:r>
      <w:r w:rsidR="00D943D7">
        <w:t>,</w:t>
      </w:r>
      <w:r>
        <w:t xml:space="preserve"> prejela dopis, v katerem </w:t>
      </w:r>
      <w:r w:rsidR="00CA3E99">
        <w:t xml:space="preserve">vlagatelj </w:t>
      </w:r>
      <w:r>
        <w:t>opozarja</w:t>
      </w:r>
      <w:r w:rsidR="00202DB7">
        <w:t xml:space="preserve"> na </w:t>
      </w:r>
      <w:r w:rsidR="00F7544F">
        <w:t>napako zaradi manjkajoče</w:t>
      </w:r>
      <w:r w:rsidR="00D943D7">
        <w:t xml:space="preserve"> </w:t>
      </w:r>
      <w:r w:rsidR="00F7544F">
        <w:t xml:space="preserve">besede </w:t>
      </w:r>
      <w:r w:rsidR="00D943D7">
        <w:rPr>
          <w:b/>
          <w:bCs/>
        </w:rPr>
        <w:t xml:space="preserve">akreditacijo </w:t>
      </w:r>
      <w:r w:rsidR="00F7544F">
        <w:t>v izreku odločbe kot tudi odsotnost</w:t>
      </w:r>
      <w:r w:rsidR="007B0F0C">
        <w:t>i</w:t>
      </w:r>
      <w:r w:rsidR="00F7544F">
        <w:t xml:space="preserve"> zapisa znanstvenega in habilitacijskega naziva </w:t>
      </w:r>
      <w:r w:rsidR="00F7544F" w:rsidRPr="00F7544F">
        <w:t xml:space="preserve">rektorja Univerze v Ljubljani, </w:t>
      </w:r>
      <w:r w:rsidR="00F7544F" w:rsidRPr="00F7544F">
        <w:rPr>
          <w:b/>
          <w:bCs/>
        </w:rPr>
        <w:t xml:space="preserve">prof. dr. </w:t>
      </w:r>
      <w:r w:rsidR="00F7544F" w:rsidRPr="00F7544F">
        <w:t xml:space="preserve">Gregorja Majdiča. </w:t>
      </w:r>
    </w:p>
    <w:p w14:paraId="5BE6D732" w14:textId="27EBD1B2" w:rsidR="006C41EE" w:rsidRPr="00795840" w:rsidRDefault="006C41EE" w:rsidP="006C41EE">
      <w:pPr>
        <w:rPr>
          <w:rFonts w:eastAsia="Arial Unicode MS"/>
        </w:rPr>
      </w:pPr>
      <w:r w:rsidRPr="003D1C5E">
        <w:rPr>
          <w:rFonts w:eastAsia="Arial Unicode MS"/>
        </w:rPr>
        <w:t>Zaradi poprav</w:t>
      </w:r>
      <w:r w:rsidR="00F7544F">
        <w:rPr>
          <w:rFonts w:eastAsia="Arial Unicode MS"/>
        </w:rPr>
        <w:t>ka v prvem odstavku izreka in d</w:t>
      </w:r>
      <w:r w:rsidR="007B0F0C">
        <w:rPr>
          <w:rFonts w:eastAsia="Arial Unicode MS"/>
        </w:rPr>
        <w:t>odajanja</w:t>
      </w:r>
      <w:r w:rsidR="00F7544F">
        <w:rPr>
          <w:rFonts w:eastAsia="Arial Unicode MS"/>
        </w:rPr>
        <w:t xml:space="preserve"> ustreznega znanstvenega in habilitacijskega naziva </w:t>
      </w:r>
      <w:r w:rsidR="00D943D7">
        <w:rPr>
          <w:rFonts w:eastAsia="Arial Unicode MS"/>
        </w:rPr>
        <w:t xml:space="preserve">v </w:t>
      </w:r>
      <w:r w:rsidR="00CA3E99">
        <w:rPr>
          <w:rFonts w:eastAsia="Arial Unicode MS"/>
        </w:rPr>
        <w:t>odločb</w:t>
      </w:r>
      <w:r w:rsidR="00D943D7">
        <w:rPr>
          <w:rFonts w:eastAsia="Arial Unicode MS"/>
        </w:rPr>
        <w:t>i</w:t>
      </w:r>
      <w:r w:rsidR="00F7544F">
        <w:rPr>
          <w:rFonts w:eastAsia="Arial Unicode MS"/>
        </w:rPr>
        <w:t>,</w:t>
      </w:r>
      <w:r w:rsidRPr="003D1C5E">
        <w:rPr>
          <w:rFonts w:eastAsia="Arial Unicode MS"/>
        </w:rPr>
        <w:t xml:space="preserve"> izdajamo sklep o popravi pomote v skladu z drugim odstavkom 223. člena ZUP.</w:t>
      </w:r>
    </w:p>
    <w:p w14:paraId="41DA8DFA" w14:textId="77777777" w:rsidR="006C41EE" w:rsidRDefault="006C41EE" w:rsidP="006C41EE">
      <w:pPr>
        <w:rPr>
          <w:rFonts w:eastAsia="Arial Unicode MS"/>
          <w:b/>
        </w:rPr>
      </w:pPr>
    </w:p>
    <w:p w14:paraId="7885907A" w14:textId="77777777" w:rsidR="006C41EE" w:rsidRPr="00CD4D9C" w:rsidRDefault="006C41EE" w:rsidP="006C41EE">
      <w:pPr>
        <w:rPr>
          <w:rFonts w:eastAsia="Arial Unicode MS"/>
          <w:b/>
        </w:rPr>
      </w:pPr>
    </w:p>
    <w:p w14:paraId="5E71ED8B" w14:textId="77777777" w:rsidR="00D557E5" w:rsidRDefault="00D557E5" w:rsidP="006C41EE">
      <w:pPr>
        <w:rPr>
          <w:rFonts w:eastAsia="Arial Unicode MS"/>
          <w:b/>
        </w:rPr>
      </w:pPr>
    </w:p>
    <w:p w14:paraId="37047E4C" w14:textId="599C5B93" w:rsidR="006C41EE" w:rsidRPr="00CD4D9C" w:rsidRDefault="006C41EE" w:rsidP="006C41EE">
      <w:pPr>
        <w:rPr>
          <w:rFonts w:eastAsia="Arial Unicode MS"/>
          <w:b/>
        </w:rPr>
      </w:pPr>
      <w:r w:rsidRPr="00CD4D9C">
        <w:rPr>
          <w:rFonts w:eastAsia="Arial Unicode MS"/>
          <w:b/>
        </w:rPr>
        <w:lastRenderedPageBreak/>
        <w:t>POUK O PRAVNEM SREDSTVU:</w:t>
      </w:r>
    </w:p>
    <w:p w14:paraId="426E0BB1" w14:textId="77777777" w:rsidR="006C41EE" w:rsidRPr="00CD4D9C" w:rsidRDefault="006C41EE" w:rsidP="006C41EE">
      <w:pPr>
        <w:rPr>
          <w:rFonts w:eastAsia="Arial Unicode MS"/>
          <w:b/>
        </w:rPr>
      </w:pPr>
    </w:p>
    <w:p w14:paraId="12C3563A" w14:textId="77777777" w:rsidR="006C41EE" w:rsidRPr="00CD4D9C" w:rsidRDefault="006C41EE" w:rsidP="006C41EE">
      <w:pPr>
        <w:rPr>
          <w:rFonts w:eastAsia="Arial Unicode MS"/>
          <w:b/>
        </w:rPr>
      </w:pPr>
    </w:p>
    <w:p w14:paraId="6ACFA923" w14:textId="77777777" w:rsidR="006C41EE" w:rsidRPr="004D7508" w:rsidRDefault="006C41EE" w:rsidP="006C41EE">
      <w:pPr>
        <w:tabs>
          <w:tab w:val="left" w:pos="8145"/>
        </w:tabs>
      </w:pPr>
      <w:r w:rsidRPr="00CD4D9C">
        <w:t xml:space="preserve">Zoper ta sklep je dovoljena pritožba v 30 dneh od vročitve sklepa. Pritožba se vloži pri Nacionalni agenciji Republike Slovenije za kakovost v visokem šolstvu, </w:t>
      </w:r>
      <w:r>
        <w:t>Miklošičeva 7</w:t>
      </w:r>
      <w:r w:rsidRPr="00CD4D9C">
        <w:t>, 1000 Ljubljana, pisno ali ustno na zapisnik ali pa se pošlje priporočeno po pošti. Če je pr</w:t>
      </w:r>
      <w:r w:rsidRPr="004D7508">
        <w:t xml:space="preserve">itožba poslana priporočeno po pošti, se šteje, da je prispela pravočasno, če je oddana na pošto zadnji dan pritožbenega roka. O pritožbi bo odločala pritožbena komisija Nacionalne agencije Republike Slovenije za kakovost v visokem šolstvu. </w:t>
      </w:r>
    </w:p>
    <w:p w14:paraId="3B989B27" w14:textId="77777777" w:rsidR="006C41EE" w:rsidRPr="004D7508" w:rsidRDefault="006C41EE" w:rsidP="006C41EE">
      <w:pPr>
        <w:tabs>
          <w:tab w:val="left" w:pos="8145"/>
        </w:tabs>
      </w:pPr>
    </w:p>
    <w:p w14:paraId="6884EF52" w14:textId="1C75D60A" w:rsidR="006C41EE" w:rsidRPr="004D7508" w:rsidRDefault="006C41EE" w:rsidP="006C41EE">
      <w:r w:rsidRPr="004D7508">
        <w:t>Izdaja tega sklepa je oproščena plačila takse po 5. točki 28. člena Zakona o upravnih taksah (</w:t>
      </w:r>
      <w:r w:rsidR="00CA3E99" w:rsidRPr="00CA3E99">
        <w:t xml:space="preserve">Uradni list RS, št. </w:t>
      </w:r>
      <w:hyperlink r:id="rId16" w:tgtFrame="_blank" w:tooltip="Zakon o upravnih taksah (uradno prečiščeno besedilo) (ZUT-UPB5)" w:history="1">
        <w:r w:rsidR="00CA3E99" w:rsidRPr="00CA3E99">
          <w:t>106/10</w:t>
        </w:r>
      </w:hyperlink>
      <w:r w:rsidR="00CA3E99" w:rsidRPr="00CA3E99">
        <w:t xml:space="preserve"> – uradno prečiščeno besedilo, </w:t>
      </w:r>
      <w:hyperlink r:id="rId17" w:tgtFrame="_blank" w:tooltip="Zakon o ukrepih za uravnoteženje javnih financ občin (ZUUJFO)" w:history="1">
        <w:r w:rsidR="00CA3E99" w:rsidRPr="00CA3E99">
          <w:t>14/15</w:t>
        </w:r>
      </w:hyperlink>
      <w:r w:rsidR="00CA3E99" w:rsidRPr="00CA3E99">
        <w:t xml:space="preserve"> – ZUUJFO, </w:t>
      </w:r>
      <w:hyperlink r:id="rId18" w:tgtFrame="_blank" w:tooltip="Zakon o spremembah in dopolnitvah Zakona o železniškem prometu (ZZelP-J)" w:history="1">
        <w:r w:rsidR="00CA3E99" w:rsidRPr="00CA3E99">
          <w:t>84/15</w:t>
        </w:r>
      </w:hyperlink>
      <w:r w:rsidR="00CA3E99" w:rsidRPr="00CA3E99">
        <w:t xml:space="preserve"> – ZZelP-J, </w:t>
      </w:r>
      <w:hyperlink r:id="rId19" w:tgtFrame="_blank" w:tooltip="Zakon o spremembah in dopolnitvah Zakona o upravnih taksah (ZUT-I)" w:history="1">
        <w:r w:rsidR="00CA3E99" w:rsidRPr="00CA3E99">
          <w:t>32/16</w:t>
        </w:r>
      </w:hyperlink>
      <w:r w:rsidR="00CA3E99" w:rsidRPr="00CA3E99">
        <w:t xml:space="preserve">, </w:t>
      </w:r>
      <w:hyperlink r:id="rId20" w:tgtFrame="_blank" w:tooltip="Zakon o konzularni zaščiti (ZKZaš)" w:history="1">
        <w:r w:rsidR="00CA3E99" w:rsidRPr="00CA3E99">
          <w:t>30/18</w:t>
        </w:r>
      </w:hyperlink>
      <w:r w:rsidR="00CA3E99" w:rsidRPr="00CA3E99">
        <w:t xml:space="preserve"> – </w:t>
      </w:r>
      <w:proofErr w:type="spellStart"/>
      <w:r w:rsidR="00CA3E99" w:rsidRPr="00CA3E99">
        <w:t>ZKZaš</w:t>
      </w:r>
      <w:proofErr w:type="spellEnd"/>
      <w:r w:rsidR="00CA3E99" w:rsidRPr="00CA3E99">
        <w:t xml:space="preserve"> in </w:t>
      </w:r>
      <w:hyperlink r:id="rId21" w:tgtFrame="_blank" w:tooltip="Zakon o finančni razbremenitvi občin (ZFRO)" w:history="1">
        <w:r w:rsidR="00CA3E99" w:rsidRPr="00CA3E99">
          <w:t>189/20</w:t>
        </w:r>
      </w:hyperlink>
      <w:r w:rsidR="00CA3E99" w:rsidRPr="00CA3E99">
        <w:t xml:space="preserve"> – ZFRO</w:t>
      </w:r>
      <w:r w:rsidRPr="004D7508">
        <w:t>).</w:t>
      </w:r>
    </w:p>
    <w:p w14:paraId="4EDE19EB" w14:textId="77777777" w:rsidR="006C41EE" w:rsidRPr="004D7508" w:rsidRDefault="006C41EE" w:rsidP="006C41EE">
      <w:pPr>
        <w:pStyle w:val="Telobesedila3"/>
        <w:tabs>
          <w:tab w:val="left" w:pos="720"/>
        </w:tabs>
        <w:spacing w:after="0" w:line="240" w:lineRule="auto"/>
        <w:rPr>
          <w:rFonts w:ascii="Verdana" w:hAnsi="Verdana"/>
          <w:sz w:val="20"/>
          <w:lang w:val="sl-SI"/>
        </w:rPr>
      </w:pPr>
    </w:p>
    <w:p w14:paraId="39953340" w14:textId="77777777" w:rsidR="006C41EE" w:rsidRDefault="006C41EE" w:rsidP="006C41EE">
      <w:pPr>
        <w:pStyle w:val="Telobesedila3"/>
        <w:tabs>
          <w:tab w:val="left" w:pos="720"/>
        </w:tabs>
        <w:spacing w:after="0" w:line="240" w:lineRule="auto"/>
        <w:rPr>
          <w:rFonts w:ascii="Verdana" w:hAnsi="Verdana"/>
          <w:sz w:val="20"/>
          <w:lang w:val="sl-SI"/>
        </w:rPr>
      </w:pPr>
    </w:p>
    <w:p w14:paraId="2BDBE0CA" w14:textId="77777777" w:rsidR="006C41EE" w:rsidRPr="004D7508" w:rsidRDefault="006C41EE" w:rsidP="006C41EE">
      <w:pPr>
        <w:pStyle w:val="Telobesedila3"/>
        <w:tabs>
          <w:tab w:val="left" w:pos="720"/>
        </w:tabs>
        <w:spacing w:after="0" w:line="240" w:lineRule="auto"/>
        <w:rPr>
          <w:rFonts w:ascii="Verdana" w:hAnsi="Verdana"/>
          <w:sz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16"/>
      </w:tblGrid>
      <w:tr w:rsidR="006C41EE" w:rsidRPr="004D7508" w14:paraId="5EFF8D35" w14:textId="77777777" w:rsidTr="004F6916">
        <w:tc>
          <w:tcPr>
            <w:tcW w:w="4606" w:type="dxa"/>
          </w:tcPr>
          <w:p w14:paraId="121A5889" w14:textId="6D3945F8" w:rsidR="00202DB7" w:rsidRDefault="00202DB7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  <w:r>
              <w:rPr>
                <w:rFonts w:ascii="Verdana" w:hAnsi="Verdana"/>
                <w:sz w:val="20"/>
                <w:lang w:val="sl-SI"/>
              </w:rPr>
              <w:t>Postopek vodi:</w:t>
            </w:r>
          </w:p>
          <w:p w14:paraId="75DE829A" w14:textId="42FB6515" w:rsidR="00202DB7" w:rsidRDefault="00F7544F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  <w:r>
              <w:rPr>
                <w:rFonts w:ascii="Verdana" w:hAnsi="Verdana"/>
                <w:sz w:val="20"/>
                <w:lang w:val="sl-SI"/>
              </w:rPr>
              <w:t>Maja Milas</w:t>
            </w:r>
          </w:p>
          <w:p w14:paraId="4051ADF0" w14:textId="7308BD79" w:rsidR="006C41EE" w:rsidRPr="004D7508" w:rsidRDefault="006C41EE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</w:p>
        </w:tc>
        <w:tc>
          <w:tcPr>
            <w:tcW w:w="4606" w:type="dxa"/>
          </w:tcPr>
          <w:p w14:paraId="188A9CFE" w14:textId="77777777" w:rsidR="006C41EE" w:rsidRPr="004D7508" w:rsidRDefault="006C41EE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  <w:r>
              <w:rPr>
                <w:rFonts w:ascii="Verdana" w:hAnsi="Verdana"/>
                <w:sz w:val="20"/>
                <w:lang w:val="sl-SI"/>
              </w:rPr>
              <w:t>Dr. Boris Dular</w:t>
            </w:r>
          </w:p>
          <w:p w14:paraId="18B576B8" w14:textId="77777777" w:rsidR="006C41EE" w:rsidRPr="004D7508" w:rsidRDefault="006C41EE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  <w:r w:rsidRPr="004D7508">
              <w:rPr>
                <w:rFonts w:ascii="Verdana" w:hAnsi="Verdana"/>
                <w:sz w:val="20"/>
                <w:lang w:val="sl-SI"/>
              </w:rPr>
              <w:t>p</w:t>
            </w:r>
            <w:r>
              <w:rPr>
                <w:rFonts w:ascii="Verdana" w:hAnsi="Verdana"/>
                <w:sz w:val="20"/>
                <w:lang w:val="sl-SI"/>
              </w:rPr>
              <w:t>redsednik</w:t>
            </w:r>
            <w:r w:rsidRPr="004D7508">
              <w:rPr>
                <w:rFonts w:ascii="Verdana" w:hAnsi="Verdana"/>
                <w:sz w:val="20"/>
                <w:lang w:val="sl-SI"/>
              </w:rPr>
              <w:t xml:space="preserve"> sveta </w:t>
            </w:r>
          </w:p>
          <w:p w14:paraId="04983E66" w14:textId="77777777" w:rsidR="006C41EE" w:rsidRPr="004D7508" w:rsidRDefault="006C41EE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  <w:r w:rsidRPr="004D7508">
              <w:rPr>
                <w:rFonts w:ascii="Verdana" w:hAnsi="Verdana"/>
                <w:sz w:val="20"/>
                <w:lang w:val="sl-SI"/>
              </w:rPr>
              <w:t xml:space="preserve">Nacionalne agencije Republike Slovenije </w:t>
            </w:r>
          </w:p>
          <w:p w14:paraId="5F9E8274" w14:textId="77777777" w:rsidR="006C41EE" w:rsidRPr="004D7508" w:rsidRDefault="006C41EE" w:rsidP="004F6916">
            <w:pPr>
              <w:pStyle w:val="Telobesedila3"/>
              <w:tabs>
                <w:tab w:val="left" w:pos="720"/>
              </w:tabs>
              <w:spacing w:after="0" w:line="240" w:lineRule="auto"/>
              <w:rPr>
                <w:rFonts w:ascii="Verdana" w:hAnsi="Verdana"/>
                <w:sz w:val="20"/>
                <w:lang w:val="sl-SI"/>
              </w:rPr>
            </w:pPr>
            <w:r w:rsidRPr="004D7508">
              <w:rPr>
                <w:rFonts w:ascii="Verdana" w:hAnsi="Verdana"/>
                <w:sz w:val="20"/>
                <w:lang w:val="sl-SI"/>
              </w:rPr>
              <w:t>za kakovost v visokem šolstvu</w:t>
            </w:r>
          </w:p>
        </w:tc>
      </w:tr>
    </w:tbl>
    <w:p w14:paraId="0CD907C5" w14:textId="77777777" w:rsidR="006C41EE" w:rsidRPr="004D7508" w:rsidRDefault="006C41EE" w:rsidP="006C41EE">
      <w:pPr>
        <w:pStyle w:val="Telobesedila3"/>
        <w:tabs>
          <w:tab w:val="left" w:pos="720"/>
        </w:tabs>
        <w:rPr>
          <w:rFonts w:ascii="Verdana" w:hAnsi="Verdana"/>
          <w:b/>
          <w:sz w:val="20"/>
          <w:lang w:val="sl-SI"/>
        </w:rPr>
      </w:pPr>
    </w:p>
    <w:p w14:paraId="7738346E" w14:textId="77777777" w:rsidR="006C41EE" w:rsidRPr="004D7508" w:rsidRDefault="006C41EE" w:rsidP="006C41EE">
      <w:pPr>
        <w:pStyle w:val="Telobesedila3"/>
        <w:tabs>
          <w:tab w:val="left" w:pos="720"/>
        </w:tabs>
        <w:rPr>
          <w:rFonts w:ascii="Verdana" w:hAnsi="Verdana"/>
          <w:b/>
          <w:sz w:val="20"/>
          <w:lang w:val="sl-SI"/>
        </w:rPr>
      </w:pPr>
    </w:p>
    <w:p w14:paraId="42405214" w14:textId="77777777" w:rsidR="006C41EE" w:rsidRDefault="006C41EE" w:rsidP="006C41EE">
      <w:pPr>
        <w:pStyle w:val="Telobesedila3"/>
        <w:tabs>
          <w:tab w:val="left" w:pos="720"/>
        </w:tabs>
        <w:rPr>
          <w:rFonts w:ascii="Verdana" w:hAnsi="Verdana"/>
          <w:sz w:val="20"/>
          <w:lang w:val="sl-SI"/>
        </w:rPr>
      </w:pPr>
      <w:r w:rsidRPr="004D7508">
        <w:rPr>
          <w:rFonts w:ascii="Verdana" w:hAnsi="Verdana"/>
          <w:sz w:val="20"/>
          <w:lang w:val="sl-SI"/>
        </w:rPr>
        <w:t>Vročiti:</w:t>
      </w:r>
      <w:r>
        <w:rPr>
          <w:rFonts w:ascii="Verdana" w:hAnsi="Verdana"/>
          <w:sz w:val="20"/>
          <w:lang w:val="sl-SI"/>
        </w:rPr>
        <w:t xml:space="preserve"> </w:t>
      </w:r>
    </w:p>
    <w:p w14:paraId="51AAC835" w14:textId="77777777" w:rsidR="00202DB7" w:rsidRPr="00202DB7" w:rsidRDefault="00202DB7" w:rsidP="00202DB7">
      <w:pPr>
        <w:pStyle w:val="Telobesedila3"/>
        <w:rPr>
          <w:rFonts w:ascii="Verdana" w:hAnsi="Verdana"/>
          <w:sz w:val="20"/>
          <w:lang w:val="sl-SI"/>
        </w:rPr>
      </w:pPr>
      <w:r w:rsidRPr="00202DB7">
        <w:rPr>
          <w:rFonts w:ascii="Verdana" w:hAnsi="Verdana"/>
          <w:sz w:val="20"/>
          <w:lang w:val="sl-SI"/>
        </w:rPr>
        <w:t>Univerza v Ljubljani, Kongresni trg 12, 1000 Ljubljana – osebna vročitev.</w:t>
      </w:r>
    </w:p>
    <w:p w14:paraId="165B900F" w14:textId="4161B09E" w:rsidR="00202DB7" w:rsidRDefault="00202DB7" w:rsidP="006C41EE">
      <w:pPr>
        <w:pStyle w:val="Telobesedila3"/>
        <w:tabs>
          <w:tab w:val="left" w:pos="720"/>
        </w:tabs>
        <w:rPr>
          <w:rFonts w:ascii="Verdana" w:hAnsi="Verdana"/>
          <w:sz w:val="20"/>
          <w:lang w:val="sl-SI"/>
        </w:rPr>
      </w:pPr>
    </w:p>
    <w:p w14:paraId="0D343EDE" w14:textId="3D7B7309" w:rsidR="00AD5968" w:rsidRDefault="00AD5968"/>
    <w:p w14:paraId="513B2D79" w14:textId="77777777" w:rsidR="006C41EE" w:rsidRDefault="006C41EE"/>
    <w:sectPr w:rsidR="006C41EE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CA90" w14:textId="77777777" w:rsidR="00913F98" w:rsidRDefault="00913F98">
      <w:r>
        <w:separator/>
      </w:r>
    </w:p>
  </w:endnote>
  <w:endnote w:type="continuationSeparator" w:id="0">
    <w:p w14:paraId="0C5E1373" w14:textId="77777777" w:rsidR="00913F98" w:rsidRDefault="0091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8DA4" w14:textId="77777777" w:rsidR="00AD5968" w:rsidRDefault="00913F98">
    <w:r>
      <w:rPr>
        <w:noProof/>
      </w:rPr>
      <w:drawing>
        <wp:inline distT="0" distB="0" distL="0" distR="0" wp14:anchorId="5076B87D" wp14:editId="7590630E">
          <wp:extent cx="6019800" cy="561975"/>
          <wp:effectExtent l="0" t="0" r="0" b="0"/>
          <wp:docPr id="1980243418" name="Slika 1980243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6888" w14:textId="77777777" w:rsidR="00913F98" w:rsidRDefault="00913F98">
      <w:r>
        <w:separator/>
      </w:r>
    </w:p>
  </w:footnote>
  <w:footnote w:type="continuationSeparator" w:id="0">
    <w:p w14:paraId="01998C34" w14:textId="77777777" w:rsidR="00913F98" w:rsidRDefault="0091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BC37" w14:textId="77777777" w:rsidR="00AD5968" w:rsidRDefault="00913F98">
    <w:r>
      <w:rPr>
        <w:noProof/>
      </w:rPr>
      <w:drawing>
        <wp:inline distT="0" distB="0" distL="0" distR="0" wp14:anchorId="3F30D8FB" wp14:editId="5000F9A9">
          <wp:extent cx="2286000" cy="13335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14D6B"/>
    <w:multiLevelType w:val="hybridMultilevel"/>
    <w:tmpl w:val="598CE5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3084C"/>
    <w:multiLevelType w:val="hybridMultilevel"/>
    <w:tmpl w:val="DA08EFC0"/>
    <w:lvl w:ilvl="0" w:tplc="1C8099D8">
      <w:start w:val="1"/>
      <w:numFmt w:val="bullet"/>
      <w:lvlText w:val="●"/>
      <w:lvlJc w:val="left"/>
      <w:pPr>
        <w:ind w:left="720" w:hanging="360"/>
      </w:pPr>
    </w:lvl>
    <w:lvl w:ilvl="1" w:tplc="622A6718">
      <w:start w:val="1"/>
      <w:numFmt w:val="bullet"/>
      <w:lvlText w:val="○"/>
      <w:lvlJc w:val="left"/>
      <w:pPr>
        <w:ind w:left="1440" w:hanging="360"/>
      </w:pPr>
    </w:lvl>
    <w:lvl w:ilvl="2" w:tplc="80B4203C">
      <w:start w:val="1"/>
      <w:numFmt w:val="bullet"/>
      <w:lvlText w:val="■"/>
      <w:lvlJc w:val="left"/>
      <w:pPr>
        <w:ind w:left="2160" w:hanging="360"/>
      </w:pPr>
    </w:lvl>
    <w:lvl w:ilvl="3" w:tplc="20502422">
      <w:start w:val="1"/>
      <w:numFmt w:val="bullet"/>
      <w:lvlText w:val="●"/>
      <w:lvlJc w:val="left"/>
      <w:pPr>
        <w:ind w:left="2880" w:hanging="360"/>
      </w:pPr>
    </w:lvl>
    <w:lvl w:ilvl="4" w:tplc="857204DC">
      <w:start w:val="1"/>
      <w:numFmt w:val="bullet"/>
      <w:lvlText w:val="○"/>
      <w:lvlJc w:val="left"/>
      <w:pPr>
        <w:ind w:left="3600" w:hanging="360"/>
      </w:pPr>
    </w:lvl>
    <w:lvl w:ilvl="5" w:tplc="E7A40D28">
      <w:start w:val="1"/>
      <w:numFmt w:val="bullet"/>
      <w:lvlText w:val="■"/>
      <w:lvlJc w:val="left"/>
      <w:pPr>
        <w:ind w:left="4320" w:hanging="360"/>
      </w:pPr>
    </w:lvl>
    <w:lvl w:ilvl="6" w:tplc="0C928EBC">
      <w:start w:val="1"/>
      <w:numFmt w:val="bullet"/>
      <w:lvlText w:val="●"/>
      <w:lvlJc w:val="left"/>
      <w:pPr>
        <w:ind w:left="5040" w:hanging="360"/>
      </w:pPr>
    </w:lvl>
    <w:lvl w:ilvl="7" w:tplc="6F5A46BC">
      <w:start w:val="1"/>
      <w:numFmt w:val="bullet"/>
      <w:lvlText w:val="●"/>
      <w:lvlJc w:val="left"/>
      <w:pPr>
        <w:ind w:left="5760" w:hanging="360"/>
      </w:pPr>
    </w:lvl>
    <w:lvl w:ilvl="8" w:tplc="EEE0A370">
      <w:start w:val="1"/>
      <w:numFmt w:val="bullet"/>
      <w:lvlText w:val="●"/>
      <w:lvlJc w:val="left"/>
      <w:pPr>
        <w:ind w:left="6480" w:hanging="360"/>
      </w:pPr>
    </w:lvl>
  </w:abstractNum>
  <w:num w:numId="1" w16cid:durableId="1374619705">
    <w:abstractNumId w:val="1"/>
    <w:lvlOverride w:ilvl="0">
      <w:startOverride w:val="1"/>
    </w:lvlOverride>
  </w:num>
  <w:num w:numId="2" w16cid:durableId="1029529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68"/>
    <w:rsid w:val="00054299"/>
    <w:rsid w:val="001C1664"/>
    <w:rsid w:val="00202DB7"/>
    <w:rsid w:val="00205BC2"/>
    <w:rsid w:val="00254FB7"/>
    <w:rsid w:val="002F5E8B"/>
    <w:rsid w:val="003D1C5E"/>
    <w:rsid w:val="003E3739"/>
    <w:rsid w:val="004B3835"/>
    <w:rsid w:val="005040F6"/>
    <w:rsid w:val="00564DD6"/>
    <w:rsid w:val="006C1A1B"/>
    <w:rsid w:val="006C41EE"/>
    <w:rsid w:val="007B0F0C"/>
    <w:rsid w:val="00913F98"/>
    <w:rsid w:val="009F65CF"/>
    <w:rsid w:val="00AB1E0C"/>
    <w:rsid w:val="00AD5968"/>
    <w:rsid w:val="00B73ADC"/>
    <w:rsid w:val="00C67539"/>
    <w:rsid w:val="00CA3E99"/>
    <w:rsid w:val="00D272C0"/>
    <w:rsid w:val="00D557E5"/>
    <w:rsid w:val="00D65F0B"/>
    <w:rsid w:val="00D943D7"/>
    <w:rsid w:val="00DE3BE0"/>
    <w:rsid w:val="00E754C3"/>
    <w:rsid w:val="00EF3DCB"/>
    <w:rsid w:val="00F7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5324"/>
  <w15:docId w15:val="{4E681BCB-95C9-41A0-BAE3-EF3BBED3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jc w:val="both"/>
    </w:pPr>
    <w:rPr>
      <w:rFonts w:ascii="Verdana" w:eastAsia="Verdana" w:hAnsi="Verdana" w:cs="Verdana"/>
    </w:rPr>
  </w:style>
  <w:style w:type="paragraph" w:styleId="Naslov1">
    <w:name w:val="heading 1"/>
    <w:basedOn w:val="Navaden"/>
    <w:next w:val="Navaden"/>
    <w:uiPriority w:val="9"/>
    <w:qFormat/>
    <w:pPr>
      <w:spacing w:after="120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outlineLvl w:val="5"/>
    </w:pPr>
    <w:rPr>
      <w:color w:val="1F4D7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rPr>
      <w:sz w:val="56"/>
      <w:szCs w:val="56"/>
    </w:rPr>
  </w:style>
  <w:style w:type="paragraph" w:customStyle="1" w:styleId="Krepko1">
    <w:name w:val="Krepko1"/>
    <w:basedOn w:val="Navaden"/>
    <w:next w:val="Navaden"/>
    <w:qFormat/>
    <w:rPr>
      <w:b/>
      <w:bCs/>
    </w:rPr>
  </w:style>
  <w:style w:type="paragraph" w:styleId="Odstavekseznama">
    <w:name w:val="List Paragraph"/>
    <w:basedOn w:val="Navaden"/>
    <w:qFormat/>
  </w:style>
  <w:style w:type="character" w:styleId="Hiperpovezava">
    <w:name w:val="Hyperlink"/>
    <w:uiPriority w:val="99"/>
    <w:unhideWhenUsed/>
    <w:rPr>
      <w:color w:val="0563C1"/>
      <w:u w:val="single"/>
    </w:rPr>
  </w:style>
  <w:style w:type="character" w:styleId="Sprotnaopomba-sklic">
    <w:name w:val="footnote reference"/>
    <w:uiPriority w:val="99"/>
    <w:semiHidden/>
    <w:unhideWhenUsed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</w:style>
  <w:style w:type="character" w:customStyle="1" w:styleId="Sprotnaopomba-besediloZnak">
    <w:name w:val="Sprotna opomba - besedilo Znak"/>
    <w:link w:val="Sprotnaopomba-besedilo"/>
    <w:uiPriority w:val="99"/>
    <w:semiHidden/>
    <w:unhideWhenUsed/>
    <w:rPr>
      <w:sz w:val="20"/>
      <w:szCs w:val="20"/>
    </w:rPr>
  </w:style>
  <w:style w:type="paragraph" w:styleId="Revizija">
    <w:name w:val="Revision"/>
    <w:hidden/>
    <w:uiPriority w:val="99"/>
    <w:semiHidden/>
    <w:rsid w:val="004B3835"/>
    <w:rPr>
      <w:rFonts w:ascii="Verdana" w:eastAsia="Verdana" w:hAnsi="Verdana" w:cs="Verdana"/>
    </w:rPr>
  </w:style>
  <w:style w:type="character" w:styleId="Pripombasklic">
    <w:name w:val="annotation reference"/>
    <w:basedOn w:val="Privzetapisavaodstavka"/>
    <w:uiPriority w:val="99"/>
    <w:semiHidden/>
    <w:unhideWhenUsed/>
    <w:rsid w:val="004B38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B3835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B3835"/>
    <w:rPr>
      <w:rFonts w:ascii="Verdana" w:eastAsia="Verdana" w:hAnsi="Verdana" w:cs="Verdan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B38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B3835"/>
    <w:rPr>
      <w:rFonts w:ascii="Verdana" w:eastAsia="Verdana" w:hAnsi="Verdana" w:cs="Verdana"/>
      <w:b/>
      <w:bCs/>
    </w:rPr>
  </w:style>
  <w:style w:type="paragraph" w:styleId="Glava">
    <w:name w:val="header"/>
    <w:basedOn w:val="Navaden"/>
    <w:link w:val="GlavaZnak"/>
    <w:uiPriority w:val="99"/>
    <w:unhideWhenUsed/>
    <w:rsid w:val="00564D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4DD6"/>
    <w:rPr>
      <w:rFonts w:ascii="Verdana" w:eastAsia="Verdana" w:hAnsi="Verdana" w:cs="Verdana"/>
    </w:rPr>
  </w:style>
  <w:style w:type="paragraph" w:styleId="Noga">
    <w:name w:val="footer"/>
    <w:basedOn w:val="Navaden"/>
    <w:link w:val="NogaZnak"/>
    <w:uiPriority w:val="99"/>
    <w:unhideWhenUsed/>
    <w:rsid w:val="00564D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4DD6"/>
    <w:rPr>
      <w:rFonts w:ascii="Verdana" w:eastAsia="Verdana" w:hAnsi="Verdana" w:cs="Verdana"/>
    </w:rPr>
  </w:style>
  <w:style w:type="paragraph" w:styleId="Telobesedila2">
    <w:name w:val="Body Text 2"/>
    <w:basedOn w:val="Navaden"/>
    <w:link w:val="Telobesedila2Znak"/>
    <w:rsid w:val="006C41EE"/>
    <w:rPr>
      <w:rFonts w:ascii="Arial" w:eastAsia="Times New Roman" w:hAnsi="Arial" w:cs="Times New Roman"/>
      <w:i/>
      <w:sz w:val="24"/>
      <w:lang w:val="x-none" w:eastAsia="en-US"/>
    </w:rPr>
  </w:style>
  <w:style w:type="character" w:customStyle="1" w:styleId="Telobesedila2Znak">
    <w:name w:val="Telo besedila 2 Znak"/>
    <w:basedOn w:val="Privzetapisavaodstavka"/>
    <w:link w:val="Telobesedila2"/>
    <w:rsid w:val="006C41EE"/>
    <w:rPr>
      <w:rFonts w:ascii="Arial" w:hAnsi="Arial"/>
      <w:i/>
      <w:sz w:val="24"/>
      <w:lang w:val="x-none" w:eastAsia="en-US"/>
    </w:rPr>
  </w:style>
  <w:style w:type="paragraph" w:styleId="Telobesedila3">
    <w:name w:val="Body Text 3"/>
    <w:basedOn w:val="Navaden"/>
    <w:link w:val="Telobesedila3Znak"/>
    <w:rsid w:val="006C41EE"/>
    <w:pPr>
      <w:spacing w:after="120" w:line="276" w:lineRule="auto"/>
      <w:jc w:val="left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Telobesedila3Znak">
    <w:name w:val="Telo besedila 3 Znak"/>
    <w:basedOn w:val="Privzetapisavaodstavka"/>
    <w:link w:val="Telobesedila3"/>
    <w:rsid w:val="006C41EE"/>
    <w:rPr>
      <w:rFonts w:ascii="Calibri" w:eastAsia="Calibri" w:hAnsi="Calibri"/>
      <w:sz w:val="16"/>
      <w:szCs w:val="16"/>
      <w:lang w:val="x-none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A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hyperlink" Target="https://www.uradni-list.si/glasilo-uradni-list-rs/vsebina/2015-01-33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0-01-32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hyperlink" Target="https://www.uradni-list.si/glasilo-uradni-list-rs/vsebina/2015-01-05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0-01-5482" TargetMode="External"/><Relationship Id="rId20" Type="http://schemas.openxmlformats.org/officeDocument/2006/relationships/hyperlink" Target="https://www.uradni-list.si/glasilo-uradni-list-rs/vsebina/2018-01-1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2-01-0014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radni-list.si/1/objava.jsp?sop=2007-01-6415" TargetMode="External"/><Relationship Id="rId19" Type="http://schemas.openxmlformats.org/officeDocument/2006/relationships/hyperlink" Target="https://www.uradni-list.si/glasilo-uradni-list-rs/vsebina/2016-01-1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4487" TargetMode="External"/><Relationship Id="rId14" Type="http://schemas.openxmlformats.org/officeDocument/2006/relationships/hyperlink" Target="https://www.uradni-list.si/glasilo-uradni-list-rs/vsebina/2020-01-3096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8369B6-DD64-4D66-ACD2-30582228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Odločba o akreditaciji študijskega programa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Odločba o akreditaciji študijskega programa</dc:title>
  <dc:creator>NAKVIS</dc:creator>
  <dc:description>Odločba o akreditaciji študijskega programa</dc:description>
  <cp:lastModifiedBy>Maja Milas</cp:lastModifiedBy>
  <cp:revision>2</cp:revision>
  <dcterms:created xsi:type="dcterms:W3CDTF">2025-05-08T11:25:00Z</dcterms:created>
  <dcterms:modified xsi:type="dcterms:W3CDTF">2025-05-08T11:25:00Z</dcterms:modified>
</cp:coreProperties>
</file>